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53206"/>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eastAsia="宋体"/>
          <w:lang w:eastAsia="zh-CN"/>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w:t>
      </w:r>
      <w:r>
        <w:rPr>
          <w:rFonts w:hint="eastAsia" w:ascii="宋体" w:hAnsi="宋体"/>
          <w:szCs w:val="21"/>
          <w:lang w:eastAsia="zh-CN"/>
        </w:rPr>
        <w:t>磋商）</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lang w:eastAsia="zh-CN"/>
              </w:rPr>
              <w:t>磋商</w:t>
            </w:r>
            <w:r>
              <w:rPr>
                <w:rFonts w:hint="eastAsia" w:ascii="宋体" w:hAnsi="宋体"/>
                <w:szCs w:val="21"/>
              </w:rPr>
              <w:t>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w:t>
            </w:r>
            <w:r>
              <w:rPr>
                <w:rFonts w:hint="eastAsia" w:ascii="仿宋_GB2312" w:eastAsia="仿宋_GB2312"/>
                <w:color w:val="FF0000"/>
                <w:sz w:val="30"/>
                <w:szCs w:val="30"/>
                <w:shd w:val="clear" w:color="auto" w:fill="FFFFFF"/>
                <w:lang w:eastAsia="zh-CN"/>
              </w:rPr>
              <w:t>磋商</w:t>
            </w:r>
            <w:r>
              <w:rPr>
                <w:rFonts w:hint="eastAsia" w:ascii="仿宋_GB2312" w:eastAsia="仿宋_GB2312"/>
                <w:color w:val="FF0000"/>
                <w:sz w:val="30"/>
                <w:szCs w:val="30"/>
                <w:shd w:val="clear" w:color="auto" w:fill="FFFFFF"/>
              </w:rPr>
              <w:t>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w:t>
      </w:r>
      <w:r>
        <w:rPr>
          <w:rFonts w:hint="eastAsia" w:ascii="宋体" w:hAnsi="宋体" w:cs="宋体"/>
          <w:color w:val="0000FF"/>
          <w:w w:val="90"/>
          <w:sz w:val="24"/>
          <w:szCs w:val="24"/>
          <w:lang w:eastAsia="zh-CN"/>
        </w:rPr>
        <w:t>磋商</w:t>
      </w:r>
      <w:r>
        <w:rPr>
          <w:rFonts w:hint="eastAsia" w:ascii="宋体" w:hAnsi="宋体" w:eastAsia="宋体" w:cs="宋体"/>
          <w:color w:val="0000FF"/>
          <w:w w:val="90"/>
          <w:sz w:val="24"/>
          <w:szCs w:val="24"/>
        </w:rPr>
        <w:t>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60" w:lineRule="exact"/>
        <w:rPr>
          <w:rFonts w:ascii="宋体" w:hAnsi="宋体"/>
          <w:b/>
          <w:bCs/>
          <w:color w:val="000000"/>
          <w:w w:val="90"/>
          <w:szCs w:val="21"/>
        </w:rPr>
      </w:pPr>
      <w:r>
        <w:rPr>
          <w:rFonts w:hint="eastAsia" w:ascii="宋体" w:hAnsi="宋体"/>
          <w:b/>
          <w:bCs/>
          <w:color w:val="000000"/>
          <w:w w:val="90"/>
          <w:szCs w:val="21"/>
        </w:rPr>
        <w:t>附件： 评标说明及确定中标候选人</w:t>
      </w:r>
    </w:p>
    <w:p>
      <w:pPr>
        <w:adjustRightInd w:val="0"/>
        <w:snapToGrid w:val="0"/>
        <w:spacing w:line="320" w:lineRule="exact"/>
        <w:ind w:firstLine="378" w:firstLineChars="200"/>
        <w:rPr>
          <w:bCs/>
          <w:color w:val="000000"/>
          <w:w w:val="90"/>
          <w:szCs w:val="21"/>
        </w:rPr>
      </w:pPr>
      <w:r>
        <w:rPr>
          <w:rFonts w:hAnsi="宋体"/>
          <w:bCs/>
          <w:color w:val="000000"/>
          <w:w w:val="90"/>
          <w:szCs w:val="21"/>
        </w:rPr>
        <w:t>为保证本次招标项目公开、公平、公正，特根据《中华人民共和国招标投标法》、《湖南省实施</w:t>
      </w:r>
      <w:r>
        <w:rPr>
          <w:bCs/>
          <w:color w:val="000000"/>
          <w:w w:val="90"/>
          <w:szCs w:val="21"/>
        </w:rPr>
        <w:t>&lt;</w:t>
      </w:r>
      <w:r>
        <w:rPr>
          <w:rFonts w:hAnsi="宋体"/>
          <w:bCs/>
          <w:color w:val="000000"/>
          <w:w w:val="90"/>
          <w:szCs w:val="21"/>
        </w:rPr>
        <w:t>中华人民共和国招标投标法</w:t>
      </w:r>
      <w:r>
        <w:rPr>
          <w:bCs/>
          <w:color w:val="000000"/>
          <w:w w:val="90"/>
          <w:szCs w:val="21"/>
        </w:rPr>
        <w:t>&gt;</w:t>
      </w:r>
      <w:r>
        <w:rPr>
          <w:rFonts w:hAnsi="宋体"/>
          <w:bCs/>
          <w:color w:val="000000"/>
          <w:w w:val="90"/>
          <w:szCs w:val="21"/>
        </w:rPr>
        <w:t>办法》及国家发展和改革委员会等七部委颁布的《工程建设项目货物招标投标办法》的规定制定本评标办法。</w:t>
      </w:r>
    </w:p>
    <w:p>
      <w:pPr>
        <w:adjustRightInd w:val="0"/>
        <w:snapToGrid w:val="0"/>
        <w:spacing w:line="320" w:lineRule="exact"/>
        <w:ind w:firstLine="378" w:firstLineChars="200"/>
        <w:rPr>
          <w:bCs/>
          <w:color w:val="000000"/>
          <w:w w:val="90"/>
          <w:szCs w:val="21"/>
        </w:rPr>
      </w:pPr>
      <w:r>
        <w:rPr>
          <w:rFonts w:hAnsi="宋体"/>
          <w:bCs/>
          <w:color w:val="000000"/>
          <w:w w:val="90"/>
          <w:szCs w:val="21"/>
        </w:rPr>
        <w:t>采用综合评分法，满分为</w:t>
      </w:r>
      <w:r>
        <w:rPr>
          <w:bCs/>
          <w:color w:val="000000"/>
          <w:w w:val="90"/>
          <w:szCs w:val="21"/>
        </w:rPr>
        <w:t>100</w:t>
      </w:r>
      <w:r>
        <w:rPr>
          <w:rFonts w:hAnsi="宋体"/>
          <w:bCs/>
          <w:color w:val="000000"/>
          <w:w w:val="90"/>
          <w:szCs w:val="21"/>
        </w:rPr>
        <w:t>分。评议过程将严格按照招标文件的要求和条件进行。对所有投标人的评估，都采用相同的程序和标准，最终得分为各个评委评分的平均值，取小数点后</w:t>
      </w:r>
      <w:r>
        <w:rPr>
          <w:bCs/>
          <w:color w:val="000000"/>
          <w:w w:val="90"/>
          <w:szCs w:val="21"/>
        </w:rPr>
        <w:t>2</w:t>
      </w:r>
      <w:r>
        <w:rPr>
          <w:rFonts w:hAnsi="宋体"/>
          <w:bCs/>
          <w:color w:val="000000"/>
          <w:w w:val="90"/>
          <w:szCs w:val="21"/>
        </w:rPr>
        <w:t>位数。重要商务参数和技术参数（带</w:t>
      </w:r>
      <w:r>
        <w:rPr>
          <w:rFonts w:hAnsi="宋体"/>
          <w:color w:val="000000"/>
          <w:w w:val="90"/>
          <w:szCs w:val="21"/>
        </w:rPr>
        <w:t>★</w:t>
      </w:r>
      <w:r>
        <w:rPr>
          <w:rFonts w:hAnsi="宋体"/>
          <w:bCs/>
          <w:color w:val="000000"/>
          <w:w w:val="90"/>
          <w:szCs w:val="21"/>
        </w:rPr>
        <w:t>）不符合者，取消投标资格。</w:t>
      </w:r>
    </w:p>
    <w:p>
      <w:pPr>
        <w:adjustRightInd w:val="0"/>
        <w:snapToGrid w:val="0"/>
        <w:spacing w:line="320" w:lineRule="exact"/>
        <w:ind w:firstLine="422" w:firstLineChars="200"/>
        <w:rPr>
          <w:b/>
          <w:bCs/>
          <w:color w:val="000000"/>
          <w:w w:val="90"/>
          <w:szCs w:val="21"/>
        </w:rPr>
      </w:pPr>
      <w:r>
        <w:rPr>
          <w:rFonts w:hAnsi="宋体"/>
          <w:b/>
          <w:color w:val="000000"/>
          <w:kern w:val="0"/>
          <w:szCs w:val="21"/>
        </w:rPr>
        <w:t>一、</w:t>
      </w:r>
      <w:r>
        <w:rPr>
          <w:rFonts w:hAnsi="宋体"/>
          <w:b/>
          <w:bCs/>
          <w:color w:val="000000"/>
          <w:w w:val="90"/>
          <w:szCs w:val="21"/>
        </w:rPr>
        <w:t>商务部分评分：满分</w:t>
      </w:r>
      <w:r>
        <w:rPr>
          <w:rFonts w:hint="eastAsia"/>
          <w:b/>
          <w:bCs/>
          <w:color w:val="000000"/>
          <w:w w:val="90"/>
          <w:szCs w:val="21"/>
        </w:rPr>
        <w:t>20</w:t>
      </w:r>
      <w:r>
        <w:rPr>
          <w:rFonts w:hAnsi="宋体"/>
          <w:b/>
          <w:bCs/>
          <w:color w:val="000000"/>
          <w:w w:val="90"/>
          <w:szCs w:val="21"/>
        </w:rPr>
        <w:t>分</w:t>
      </w:r>
    </w:p>
    <w:p>
      <w:pPr>
        <w:adjustRightInd w:val="0"/>
        <w:snapToGrid w:val="0"/>
        <w:spacing w:line="320" w:lineRule="exact"/>
        <w:ind w:firstLine="378" w:firstLineChars="200"/>
        <w:rPr>
          <w:rFonts w:ascii="宋体" w:hAnsi="宋体"/>
          <w:bCs/>
          <w:color w:val="000000"/>
          <w:w w:val="90"/>
          <w:szCs w:val="21"/>
        </w:rPr>
      </w:pPr>
      <w:r>
        <w:rPr>
          <w:rFonts w:hint="eastAsia" w:ascii="宋体" w:hAnsi="宋体"/>
          <w:bCs/>
          <w:color w:val="000000"/>
          <w:w w:val="90"/>
          <w:szCs w:val="21"/>
          <w:lang w:val="en-US" w:eastAsia="zh-CN"/>
        </w:rPr>
        <w:t>1</w:t>
      </w:r>
      <w:r>
        <w:rPr>
          <w:rFonts w:ascii="宋体" w:hAnsi="宋体"/>
          <w:bCs/>
          <w:color w:val="000000"/>
          <w:w w:val="90"/>
          <w:szCs w:val="21"/>
        </w:rPr>
        <w:t>、业绩：占</w:t>
      </w:r>
      <w:r>
        <w:rPr>
          <w:rFonts w:hint="eastAsia" w:ascii="宋体" w:hAnsi="宋体"/>
          <w:bCs/>
          <w:color w:val="000000"/>
          <w:w w:val="90"/>
          <w:szCs w:val="21"/>
          <w:lang w:val="en-US" w:eastAsia="zh-CN"/>
        </w:rPr>
        <w:t>12</w:t>
      </w:r>
      <w:r>
        <w:rPr>
          <w:rFonts w:ascii="宋体" w:hAnsi="宋体"/>
          <w:bCs/>
          <w:color w:val="000000"/>
          <w:w w:val="90"/>
          <w:szCs w:val="21"/>
        </w:rPr>
        <w:t>分。</w:t>
      </w:r>
      <w:r>
        <w:rPr>
          <w:rFonts w:hint="eastAsia" w:ascii="宋体" w:hAnsi="宋体"/>
          <w:color w:val="000000"/>
          <w:w w:val="90"/>
          <w:szCs w:val="21"/>
        </w:rPr>
        <w:t>近三年三</w:t>
      </w:r>
      <w:r>
        <w:rPr>
          <w:rFonts w:hint="eastAsia" w:ascii="宋体" w:hAnsi="宋体"/>
          <w:color w:val="000000"/>
          <w:w w:val="90"/>
          <w:szCs w:val="21"/>
          <w:lang w:val="en-US" w:eastAsia="zh-CN"/>
        </w:rPr>
        <w:t>级</w:t>
      </w:r>
      <w:r>
        <w:rPr>
          <w:rFonts w:hint="eastAsia" w:ascii="宋体" w:hAnsi="宋体"/>
          <w:color w:val="000000"/>
          <w:w w:val="90"/>
          <w:szCs w:val="21"/>
        </w:rPr>
        <w:t>医院有合作，提供合同或中标通知书或入库发票等证明材料复印件，每份材料计2分，同一时间段同一家医院的材料不重复计分，每增加一份有效材料加2分，最多得</w:t>
      </w:r>
      <w:r>
        <w:rPr>
          <w:rFonts w:hint="eastAsia" w:ascii="宋体" w:hAnsi="宋体"/>
          <w:color w:val="000000"/>
          <w:w w:val="90"/>
          <w:szCs w:val="21"/>
          <w:lang w:val="en-US" w:eastAsia="zh-CN"/>
        </w:rPr>
        <w:t>12</w:t>
      </w:r>
      <w:r>
        <w:rPr>
          <w:rFonts w:hint="eastAsia" w:ascii="宋体" w:hAnsi="宋体"/>
          <w:color w:val="000000"/>
          <w:w w:val="90"/>
          <w:szCs w:val="21"/>
        </w:rPr>
        <w:t>分。</w:t>
      </w:r>
    </w:p>
    <w:p>
      <w:pPr>
        <w:adjustRightInd w:val="0"/>
        <w:snapToGrid w:val="0"/>
        <w:spacing w:line="320" w:lineRule="exact"/>
        <w:ind w:firstLine="378" w:firstLineChars="200"/>
        <w:rPr>
          <w:rFonts w:hint="eastAsia" w:ascii="宋体" w:hAnsi="宋体" w:eastAsia="宋体" w:cs="Times New Roman"/>
          <w:bCs/>
          <w:color w:val="000000"/>
          <w:w w:val="90"/>
          <w:szCs w:val="21"/>
          <w:lang w:val="en-US" w:eastAsia="zh-CN"/>
        </w:rPr>
      </w:pPr>
      <w:r>
        <w:rPr>
          <w:rFonts w:hint="eastAsia" w:ascii="宋体" w:hAnsi="宋体" w:eastAsia="宋体" w:cs="Times New Roman"/>
          <w:bCs/>
          <w:color w:val="000000"/>
          <w:w w:val="90"/>
          <w:szCs w:val="21"/>
          <w:lang w:val="en-US" w:eastAsia="zh-CN"/>
        </w:rPr>
        <w:t>2、售后：占8分。提供承诺书在完好无损坏，不影响销售的情况下免费提供更换</w:t>
      </w:r>
      <w:r>
        <w:rPr>
          <w:rFonts w:hint="eastAsia" w:ascii="宋体" w:hAnsi="宋体" w:cs="Times New Roman"/>
          <w:bCs/>
          <w:color w:val="000000"/>
          <w:w w:val="90"/>
          <w:szCs w:val="21"/>
          <w:lang w:val="en-US" w:eastAsia="zh-CN"/>
        </w:rPr>
        <w:t>尺</w:t>
      </w:r>
      <w:r>
        <w:rPr>
          <w:rFonts w:hint="eastAsia" w:ascii="宋体" w:hAnsi="宋体" w:eastAsia="宋体" w:cs="Times New Roman"/>
          <w:bCs/>
          <w:color w:val="000000"/>
          <w:w w:val="90"/>
          <w:szCs w:val="21"/>
          <w:lang w:val="en-US" w:eastAsia="zh-CN"/>
        </w:rPr>
        <w:t>码的计2分，15天内质量问题可提供免费退换货计2分，质保期承诺达到</w:t>
      </w:r>
      <w:r>
        <w:rPr>
          <w:rFonts w:hint="eastAsia" w:ascii="宋体" w:hAnsi="宋体" w:cs="Times New Roman"/>
          <w:bCs/>
          <w:color w:val="000000"/>
          <w:w w:val="90"/>
          <w:szCs w:val="21"/>
          <w:lang w:val="en-US" w:eastAsia="zh-CN"/>
        </w:rPr>
        <w:t>一</w:t>
      </w:r>
      <w:r>
        <w:rPr>
          <w:rFonts w:hint="eastAsia" w:ascii="宋体" w:hAnsi="宋体" w:eastAsia="宋体" w:cs="Times New Roman"/>
          <w:bCs/>
          <w:color w:val="000000"/>
          <w:w w:val="90"/>
          <w:szCs w:val="21"/>
          <w:lang w:val="en-US" w:eastAsia="zh-CN"/>
        </w:rPr>
        <w:t>个月以上计2分，提供质量认证证书或产品检验报告计2分。</w:t>
      </w:r>
    </w:p>
    <w:p>
      <w:pPr>
        <w:adjustRightInd w:val="0"/>
        <w:snapToGrid w:val="0"/>
        <w:spacing w:line="320" w:lineRule="exact"/>
        <w:ind w:firstLine="380" w:firstLineChars="200"/>
        <w:rPr>
          <w:b/>
          <w:bCs/>
          <w:color w:val="000000"/>
          <w:w w:val="90"/>
          <w:szCs w:val="21"/>
        </w:rPr>
      </w:pPr>
      <w:r>
        <w:rPr>
          <w:rFonts w:hAnsi="宋体"/>
          <w:b/>
          <w:bCs/>
          <w:color w:val="000000"/>
          <w:w w:val="90"/>
          <w:szCs w:val="21"/>
        </w:rPr>
        <w:t>二、技术部分评分：满分</w:t>
      </w:r>
      <w:r>
        <w:rPr>
          <w:rFonts w:hint="eastAsia"/>
          <w:b/>
          <w:bCs/>
          <w:color w:val="000000"/>
          <w:w w:val="90"/>
          <w:szCs w:val="21"/>
        </w:rPr>
        <w:t>50</w:t>
      </w:r>
      <w:r>
        <w:rPr>
          <w:rFonts w:hAnsi="宋体"/>
          <w:b/>
          <w:bCs/>
          <w:color w:val="000000"/>
          <w:w w:val="90"/>
          <w:szCs w:val="21"/>
        </w:rPr>
        <w:t>分</w:t>
      </w:r>
    </w:p>
    <w:p>
      <w:pPr>
        <w:adjustRightInd w:val="0"/>
        <w:snapToGrid w:val="0"/>
        <w:spacing w:line="320" w:lineRule="exact"/>
        <w:ind w:firstLine="378" w:firstLineChars="200"/>
        <w:rPr>
          <w:rFonts w:hint="eastAsia" w:hAnsi="宋体"/>
          <w:bCs/>
          <w:color w:val="000000"/>
          <w:w w:val="90"/>
          <w:szCs w:val="21"/>
        </w:rPr>
      </w:pPr>
      <w:r>
        <w:rPr>
          <w:rFonts w:hAnsi="宋体"/>
          <w:bCs/>
          <w:color w:val="000000"/>
          <w:w w:val="90"/>
          <w:szCs w:val="21"/>
        </w:rPr>
        <w:t>评标委员会根据医院提供的参数要求进行评分，非主要参数一项不符合</w:t>
      </w:r>
      <w:r>
        <w:rPr>
          <w:rFonts w:hint="eastAsia" w:hAnsi="宋体"/>
          <w:bCs/>
          <w:color w:val="000000"/>
          <w:w w:val="90"/>
          <w:szCs w:val="21"/>
        </w:rPr>
        <w:t>-</w:t>
      </w:r>
      <w:r>
        <w:rPr>
          <w:rFonts w:hint="eastAsia"/>
          <w:bCs/>
          <w:color w:val="000000"/>
          <w:w w:val="90"/>
          <w:szCs w:val="21"/>
        </w:rPr>
        <w:t>3</w:t>
      </w:r>
      <w:r>
        <w:rPr>
          <w:rFonts w:hAnsi="宋体"/>
          <w:bCs/>
          <w:color w:val="000000"/>
          <w:w w:val="90"/>
          <w:szCs w:val="21"/>
        </w:rPr>
        <w:t>分</w:t>
      </w:r>
      <w:r>
        <w:rPr>
          <w:rFonts w:hint="eastAsia" w:hAnsi="宋体"/>
          <w:bCs/>
          <w:color w:val="000000"/>
          <w:w w:val="90"/>
          <w:szCs w:val="21"/>
        </w:rPr>
        <w:t>，</w:t>
      </w:r>
      <w:r>
        <w:rPr>
          <w:rFonts w:hAnsi="宋体"/>
          <w:bCs/>
          <w:color w:val="000000"/>
          <w:w w:val="90"/>
          <w:szCs w:val="21"/>
        </w:rPr>
        <w:t>扣满</w:t>
      </w:r>
      <w:r>
        <w:rPr>
          <w:rFonts w:hint="eastAsia" w:hAnsi="宋体"/>
          <w:bCs/>
          <w:color w:val="000000"/>
          <w:w w:val="90"/>
          <w:szCs w:val="21"/>
          <w:lang w:val="en-US" w:eastAsia="zh-CN"/>
        </w:rPr>
        <w:t>20</w:t>
      </w:r>
      <w:r>
        <w:rPr>
          <w:rFonts w:hint="eastAsia" w:hAnsi="宋体"/>
          <w:bCs/>
          <w:color w:val="000000"/>
          <w:w w:val="90"/>
          <w:szCs w:val="21"/>
        </w:rPr>
        <w:t>分为止，扣分达</w:t>
      </w:r>
      <w:r>
        <w:rPr>
          <w:rFonts w:hint="eastAsia" w:hAnsi="宋体"/>
          <w:bCs/>
          <w:color w:val="000000"/>
          <w:w w:val="90"/>
          <w:szCs w:val="21"/>
          <w:lang w:val="en-US" w:eastAsia="zh-CN"/>
        </w:rPr>
        <w:t>20</w:t>
      </w:r>
      <w:r>
        <w:rPr>
          <w:rFonts w:hint="eastAsia" w:hAnsi="宋体"/>
          <w:bCs/>
          <w:color w:val="000000"/>
          <w:w w:val="90"/>
          <w:szCs w:val="21"/>
        </w:rPr>
        <w:t>分的投标人将被拒绝投标</w:t>
      </w:r>
      <w:r>
        <w:rPr>
          <w:rFonts w:hAnsi="宋体"/>
          <w:bCs/>
          <w:color w:val="000000"/>
          <w:w w:val="90"/>
          <w:szCs w:val="21"/>
        </w:rPr>
        <w:t>。</w:t>
      </w:r>
    </w:p>
    <w:p>
      <w:pPr>
        <w:adjustRightInd w:val="0"/>
        <w:snapToGrid w:val="0"/>
        <w:spacing w:line="320" w:lineRule="exact"/>
        <w:ind w:firstLine="378" w:firstLineChars="200"/>
        <w:rPr>
          <w:bCs/>
          <w:color w:val="000000"/>
          <w:w w:val="90"/>
          <w:szCs w:val="21"/>
        </w:rPr>
      </w:pPr>
      <w:r>
        <w:rPr>
          <w:rFonts w:hint="eastAsia" w:hAnsi="宋体"/>
          <w:bCs/>
          <w:color w:val="000000"/>
          <w:w w:val="90"/>
          <w:szCs w:val="21"/>
        </w:rPr>
        <w:t>样品分数（</w:t>
      </w:r>
      <w:r>
        <w:rPr>
          <w:rFonts w:hint="eastAsia" w:hAnsi="宋体"/>
          <w:bCs/>
          <w:color w:val="000000"/>
          <w:w w:val="90"/>
          <w:szCs w:val="21"/>
          <w:lang w:val="en-US" w:eastAsia="zh-CN"/>
        </w:rPr>
        <w:t>3</w:t>
      </w:r>
      <w:r>
        <w:rPr>
          <w:rFonts w:hint="eastAsia" w:hAnsi="宋体"/>
          <w:bCs/>
          <w:color w:val="000000"/>
          <w:w w:val="90"/>
          <w:szCs w:val="21"/>
        </w:rPr>
        <w:t>0分）：评标委员会成员根据</w:t>
      </w:r>
      <w:r>
        <w:rPr>
          <w:rFonts w:hint="eastAsia" w:ascii="宋体" w:hAnsi="宋体"/>
          <w:color w:val="000000"/>
          <w:w w:val="90"/>
          <w:szCs w:val="21"/>
        </w:rPr>
        <w:t>提供的样品打分，根据样品材质与试穿感受按照</w:t>
      </w:r>
      <w:r>
        <w:rPr>
          <w:rFonts w:hint="eastAsia" w:ascii="宋体" w:hAnsi="宋体"/>
          <w:color w:val="000000"/>
          <w:w w:val="90"/>
          <w:szCs w:val="21"/>
          <w:lang w:val="en-US" w:eastAsia="zh-CN"/>
        </w:rPr>
        <w:t>五</w:t>
      </w:r>
      <w:r>
        <w:rPr>
          <w:rFonts w:hint="eastAsia" w:ascii="宋体" w:hAnsi="宋体"/>
          <w:color w:val="000000"/>
          <w:w w:val="90"/>
          <w:szCs w:val="21"/>
        </w:rPr>
        <w:t>挡进行评分，每</w:t>
      </w:r>
      <w:r>
        <w:rPr>
          <w:rFonts w:hint="eastAsia" w:ascii="宋体" w:hAnsi="宋体"/>
          <w:color w:val="000000"/>
          <w:w w:val="90"/>
          <w:szCs w:val="21"/>
          <w:lang w:val="en-US" w:eastAsia="zh-CN"/>
        </w:rPr>
        <w:t>6</w:t>
      </w:r>
      <w:r>
        <w:rPr>
          <w:rFonts w:hint="eastAsia" w:ascii="宋体" w:hAnsi="宋体"/>
          <w:color w:val="000000"/>
          <w:w w:val="90"/>
          <w:szCs w:val="21"/>
        </w:rPr>
        <w:t>分一个档次，样品材质与试穿舒适度最高得</w:t>
      </w:r>
      <w:r>
        <w:rPr>
          <w:rFonts w:hint="eastAsia" w:ascii="宋体" w:hAnsi="宋体"/>
          <w:color w:val="000000"/>
          <w:w w:val="90"/>
          <w:szCs w:val="21"/>
          <w:lang w:val="en-US" w:eastAsia="zh-CN"/>
        </w:rPr>
        <w:t>3</w:t>
      </w:r>
      <w:r>
        <w:rPr>
          <w:rFonts w:hint="eastAsia" w:ascii="宋体" w:hAnsi="宋体"/>
          <w:color w:val="000000"/>
          <w:w w:val="90"/>
          <w:szCs w:val="21"/>
        </w:rPr>
        <w:t>0分，样品材质与试穿舒适度最差得5分</w:t>
      </w:r>
      <w:r>
        <w:rPr>
          <w:rFonts w:hint="eastAsia" w:ascii="宋体" w:hAnsi="宋体"/>
          <w:color w:val="FF0000"/>
          <w:w w:val="90"/>
          <w:szCs w:val="21"/>
        </w:rPr>
        <w:t>。</w:t>
      </w:r>
    </w:p>
    <w:p>
      <w:pPr>
        <w:spacing w:line="360" w:lineRule="exact"/>
        <w:ind w:firstLine="422" w:firstLineChars="200"/>
        <w:rPr>
          <w:rFonts w:hint="eastAsia" w:hAnsi="宋体"/>
          <w:b/>
          <w:bCs/>
          <w:color w:val="000000"/>
          <w:w w:val="90"/>
          <w:szCs w:val="21"/>
        </w:rPr>
      </w:pPr>
      <w:r>
        <w:rPr>
          <w:rFonts w:hAnsi="宋体"/>
          <w:b/>
          <w:color w:val="000000"/>
          <w:kern w:val="0"/>
          <w:szCs w:val="21"/>
        </w:rPr>
        <w:t>三、报价部分评分：</w:t>
      </w:r>
      <w:r>
        <w:rPr>
          <w:rFonts w:hAnsi="宋体"/>
          <w:b/>
          <w:bCs/>
          <w:color w:val="000000"/>
          <w:w w:val="90"/>
          <w:szCs w:val="21"/>
        </w:rPr>
        <w:t>满分</w:t>
      </w:r>
      <w:r>
        <w:rPr>
          <w:rFonts w:hint="eastAsia"/>
          <w:b/>
          <w:bCs/>
          <w:color w:val="000000"/>
          <w:w w:val="90"/>
          <w:szCs w:val="21"/>
        </w:rPr>
        <w:t>3</w:t>
      </w:r>
      <w:r>
        <w:rPr>
          <w:b/>
          <w:bCs/>
          <w:color w:val="000000"/>
          <w:w w:val="90"/>
          <w:szCs w:val="21"/>
        </w:rPr>
        <w:t>0</w:t>
      </w:r>
      <w:r>
        <w:rPr>
          <w:rFonts w:hAnsi="宋体"/>
          <w:b/>
          <w:bCs/>
          <w:color w:val="000000"/>
          <w:w w:val="90"/>
          <w:szCs w:val="21"/>
        </w:rPr>
        <w:t>分</w:t>
      </w:r>
    </w:p>
    <w:p>
      <w:pPr>
        <w:adjustRightInd w:val="0"/>
        <w:snapToGrid w:val="0"/>
        <w:spacing w:line="320" w:lineRule="exact"/>
        <w:ind w:firstLine="396" w:firstLineChars="200"/>
        <w:rPr>
          <w:rFonts w:hint="eastAsia" w:ascii="宋体" w:hAnsi="宋体"/>
          <w:bCs/>
          <w:color w:val="000000"/>
          <w:w w:val="90"/>
          <w:sz w:val="22"/>
          <w:szCs w:val="22"/>
        </w:rPr>
      </w:pPr>
      <w:r>
        <w:rPr>
          <w:rFonts w:hint="eastAsia" w:ascii="宋体" w:hAnsi="宋体"/>
          <w:bCs/>
          <w:color w:val="000000"/>
          <w:w w:val="90"/>
          <w:sz w:val="22"/>
          <w:szCs w:val="22"/>
        </w:rPr>
        <w:t>1、本次投标有第二次报价，</w:t>
      </w:r>
      <w:r>
        <w:rPr>
          <w:rFonts w:hint="eastAsia" w:ascii="宋体" w:hAnsi="宋体"/>
          <w:sz w:val="22"/>
          <w:szCs w:val="22"/>
          <w:lang w:val="en-GB"/>
        </w:rPr>
        <w:t>满足招标文件实质要求且投标价格最低的最终投标报价为评标基准价，其价格得分计30分。其他投标人的价格得分统一按公式计算：报价得分＝（评标基准价÷最终投标报价）×价格分权重</w:t>
      </w:r>
    </w:p>
    <w:p>
      <w:pPr>
        <w:adjustRightInd w:val="0"/>
        <w:snapToGrid w:val="0"/>
        <w:spacing w:line="320" w:lineRule="exact"/>
        <w:ind w:firstLine="394" w:firstLineChars="199"/>
        <w:rPr>
          <w:rFonts w:hint="eastAsia" w:ascii="宋体" w:hAnsi="宋体"/>
          <w:bCs/>
          <w:color w:val="000000"/>
          <w:w w:val="90"/>
          <w:sz w:val="22"/>
          <w:szCs w:val="22"/>
        </w:rPr>
      </w:pPr>
      <w:r>
        <w:rPr>
          <w:rFonts w:hint="eastAsia" w:ascii="宋体" w:hAnsi="宋体"/>
          <w:bCs/>
          <w:color w:val="000000"/>
          <w:w w:val="90"/>
          <w:sz w:val="22"/>
          <w:szCs w:val="22"/>
        </w:rPr>
        <w:t>2、投标最报价得分最高分为30分。</w:t>
      </w:r>
    </w:p>
    <w:p>
      <w:pPr>
        <w:adjustRightInd w:val="0"/>
        <w:snapToGrid w:val="0"/>
        <w:spacing w:line="320" w:lineRule="exact"/>
        <w:ind w:left="374" w:leftChars="178"/>
        <w:rPr>
          <w:rFonts w:hint="eastAsia" w:ascii="宋体" w:hAnsi="宋体"/>
          <w:bCs/>
          <w:color w:val="000000"/>
          <w:w w:val="90"/>
          <w:sz w:val="22"/>
          <w:szCs w:val="22"/>
        </w:rPr>
      </w:pPr>
      <w:r>
        <w:rPr>
          <w:rFonts w:hint="eastAsia" w:ascii="宋体" w:hAnsi="宋体"/>
          <w:bCs/>
          <w:color w:val="000000"/>
          <w:w w:val="90"/>
          <w:sz w:val="22"/>
          <w:szCs w:val="22"/>
        </w:rPr>
        <w:t>3、计算保留至小数点后2位（百分比亦然），小数点后第3位采取4舍5入。</w:t>
      </w:r>
    </w:p>
    <w:p>
      <w:pPr>
        <w:adjustRightInd w:val="0"/>
        <w:snapToGrid w:val="0"/>
        <w:spacing w:line="320" w:lineRule="exact"/>
        <w:ind w:left="374" w:leftChars="178"/>
        <w:rPr>
          <w:rFonts w:hint="eastAsia"/>
          <w:b/>
          <w:bCs/>
          <w:color w:val="000000"/>
          <w:w w:val="90"/>
          <w:szCs w:val="21"/>
        </w:rPr>
      </w:pPr>
      <w:r>
        <w:rPr>
          <w:rFonts w:hint="eastAsia" w:ascii="宋体" w:hAnsi="宋体"/>
          <w:bCs/>
          <w:color w:val="000000"/>
          <w:w w:val="90"/>
          <w:sz w:val="22"/>
          <w:szCs w:val="22"/>
        </w:rPr>
        <w:t>4、最终得分以综合评分后分值为准。</w:t>
      </w:r>
    </w:p>
    <w:p>
      <w:pPr>
        <w:adjustRightInd w:val="0"/>
        <w:snapToGrid w:val="0"/>
        <w:spacing w:line="320" w:lineRule="exact"/>
        <w:ind w:firstLine="380" w:firstLineChars="200"/>
        <w:rPr>
          <w:b/>
          <w:bCs/>
          <w:color w:val="000000"/>
          <w:w w:val="90"/>
          <w:szCs w:val="21"/>
        </w:rPr>
      </w:pPr>
      <w:r>
        <w:rPr>
          <w:rFonts w:hAnsi="宋体"/>
          <w:b/>
          <w:bCs/>
          <w:color w:val="000000"/>
          <w:w w:val="90"/>
          <w:szCs w:val="21"/>
        </w:rPr>
        <w:t>四、确定中标候选人</w:t>
      </w:r>
    </w:p>
    <w:p>
      <w:pPr>
        <w:adjustRightInd w:val="0"/>
        <w:snapToGrid w:val="0"/>
        <w:spacing w:line="320" w:lineRule="exact"/>
        <w:ind w:firstLine="378" w:firstLineChars="200"/>
        <w:rPr>
          <w:bCs/>
          <w:color w:val="000000"/>
          <w:w w:val="90"/>
          <w:szCs w:val="21"/>
        </w:rPr>
      </w:pPr>
      <w:r>
        <w:rPr>
          <w:rFonts w:hAnsi="宋体"/>
          <w:bCs/>
          <w:color w:val="000000"/>
          <w:w w:val="90"/>
          <w:szCs w:val="21"/>
        </w:rPr>
        <w:t>评标委员会对所有进入综合评审的投标人，根据其最终评审得分由高到低进行排列（得分相同的，按投标报价由低到高顺序排列；得分且投标报价相同的，按技术能力得分由高到低顺序排列）。选取最终评审得分最高的投标人作为第一中标候选人，以此类推。</w:t>
      </w: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医疗设备都需要负责安装调试，保障设备正常运行.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ind w:left="0" w:leftChars="0" w:firstLine="0" w:firstLineChars="0"/>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w:t>
      </w:r>
      <w:r>
        <w:rPr>
          <w:rFonts w:hint="eastAsia" w:ascii="楷体_GB2312" w:hAnsi="宋体" w:eastAsia="楷体_GB2312"/>
          <w:bCs/>
          <w:szCs w:val="21"/>
          <w:lang w:eastAsia="zh-CN"/>
        </w:rPr>
        <w:t>磋商</w:t>
      </w:r>
      <w:r>
        <w:rPr>
          <w:rFonts w:hint="eastAsia" w:ascii="楷体_GB2312" w:hAnsi="宋体" w:eastAsia="楷体_GB2312"/>
          <w:bCs/>
          <w:szCs w:val="21"/>
        </w:rPr>
        <w:t>、签订、履行中，向甲方有关人员馈赠礼物、礼金，甲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60" w:lineRule="exact"/>
        <w:jc w:val="center"/>
        <w:rPr>
          <w:rFonts w:hint="eastAsia" w:ascii="黑体" w:hAnsi="宋体" w:eastAsia="黑体"/>
          <w:bCs/>
          <w:sz w:val="32"/>
          <w:szCs w:val="32"/>
        </w:rPr>
      </w:pP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numPr>
          <w:ilvl w:val="0"/>
          <w:numId w:val="1"/>
        </w:numPr>
        <w:adjustRightInd w:val="0"/>
        <w:snapToGrid w:val="0"/>
        <w:spacing w:line="360" w:lineRule="auto"/>
        <w:ind w:left="0" w:leftChars="0" w:firstLine="0" w:firstLineChars="0"/>
        <w:jc w:val="both"/>
        <w:rPr>
          <w:rFonts w:hint="eastAsia"/>
        </w:rPr>
      </w:pPr>
      <w:bookmarkStart w:id="7" w:name="_Toc113_WPSOffice_Level1"/>
      <w:r>
        <w:rPr>
          <w:rFonts w:hint="eastAsia" w:ascii="黑体" w:hAnsi="宋体" w:eastAsia="黑体"/>
          <w:b/>
          <w:sz w:val="32"/>
          <w:szCs w:val="32"/>
        </w:rPr>
        <w:t>供应商</w:t>
      </w:r>
      <w:r>
        <w:rPr>
          <w:rFonts w:hint="eastAsia" w:ascii="黑体" w:hAnsi="宋体" w:eastAsia="黑体"/>
          <w:b/>
          <w:bCs/>
          <w:sz w:val="32"/>
          <w:szCs w:val="32"/>
        </w:rPr>
        <w:t>的资格证明材料</w:t>
      </w:r>
      <w:bookmarkEnd w:id="7"/>
      <w:bookmarkStart w:id="10" w:name="_GoBack"/>
      <w:bookmarkEnd w:id="10"/>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w:t>
      </w:r>
      <w:r>
        <w:rPr>
          <w:rFonts w:hint="eastAsia" w:ascii="方正小标宋_GBK" w:hAnsi="华文中宋" w:eastAsia="方正小标宋_GBK"/>
          <w:sz w:val="36"/>
          <w:szCs w:val="36"/>
          <w:lang w:eastAsia="zh-CN"/>
        </w:rPr>
        <w:t>磋商</w:t>
      </w:r>
      <w:r>
        <w:rPr>
          <w:rFonts w:hint="eastAsia" w:ascii="方正小标宋_GBK" w:hAnsi="华文中宋" w:eastAsia="方正小标宋_GBK"/>
          <w:sz w:val="36"/>
          <w:szCs w:val="36"/>
        </w:rPr>
        <w:t>)</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w:t>
      </w:r>
      <w:r>
        <w:rPr>
          <w:rFonts w:hint="eastAsia" w:ascii="宋体" w:hAnsi="宋体" w:cs="宋体"/>
          <w:kern w:val="0"/>
          <w:szCs w:val="21"/>
          <w:lang w:eastAsia="zh-CN"/>
        </w:rPr>
        <w:t>磋商</w:t>
      </w:r>
      <w:r>
        <w:rPr>
          <w:rFonts w:hint="eastAsia" w:ascii="宋体" w:hAnsi="宋体" w:cs="宋体"/>
          <w:kern w:val="0"/>
          <w:szCs w:val="21"/>
        </w:rPr>
        <w:t>；(4)签订合同和处理有关事宜，其法律后果由我方承担。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both"/>
        <w:rPr>
          <w:rFonts w:hint="eastAsia" w:ascii="黑体" w:eastAsia="黑体"/>
          <w:b/>
          <w:sz w:val="32"/>
          <w:szCs w:val="32"/>
        </w:rPr>
      </w:pP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w:t>
      </w:r>
      <w:r>
        <w:rPr>
          <w:rFonts w:hint="eastAsia" w:ascii="仿宋_GB2312" w:hAnsi="宋体" w:eastAsia="仿宋_GB2312"/>
          <w:szCs w:val="21"/>
          <w:lang w:eastAsia="zh-CN"/>
        </w:rPr>
        <w:t>磋商</w:t>
      </w:r>
      <w:r>
        <w:rPr>
          <w:rFonts w:hint="eastAsia" w:ascii="仿宋_GB2312" w:hAnsi="宋体" w:eastAsia="仿宋_GB2312"/>
          <w:szCs w:val="21"/>
        </w:rPr>
        <w:t>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1644"/>
        <w:gridCol w:w="735"/>
        <w:gridCol w:w="945"/>
        <w:gridCol w:w="16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rPr>
              <w:t>型号规格</w:t>
            </w:r>
            <w:r>
              <w:rPr>
                <w:rFonts w:hint="eastAsia" w:ascii="宋体" w:hAnsi="宋体"/>
                <w:szCs w:val="21"/>
                <w:lang w:val="en-US" w:eastAsia="zh-CN"/>
              </w:rPr>
              <w:t>/</w:t>
            </w:r>
            <w:r>
              <w:rPr>
                <w:rFonts w:hint="eastAsia" w:ascii="宋体" w:hAnsi="宋体"/>
                <w:szCs w:val="21"/>
              </w:rPr>
              <w:t>具体要求说明</w:t>
            </w:r>
          </w:p>
        </w:tc>
        <w:tc>
          <w:tcPr>
            <w:tcW w:w="16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73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4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66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1644" w:type="dxa"/>
            <w:noWrap w:val="0"/>
            <w:vAlign w:val="center"/>
          </w:tcPr>
          <w:p>
            <w:pPr>
              <w:adjustRightInd w:val="0"/>
              <w:snapToGrid w:val="0"/>
              <w:spacing w:line="360" w:lineRule="auto"/>
              <w:jc w:val="center"/>
              <w:rPr>
                <w:rFonts w:hint="eastAsia" w:ascii="宋体" w:hAnsi="宋体"/>
                <w:szCs w:val="21"/>
              </w:rPr>
            </w:pPr>
          </w:p>
        </w:tc>
        <w:tc>
          <w:tcPr>
            <w:tcW w:w="735" w:type="dxa"/>
            <w:noWrap w:val="0"/>
            <w:vAlign w:val="center"/>
          </w:tcPr>
          <w:p>
            <w:pPr>
              <w:adjustRightInd w:val="0"/>
              <w:snapToGrid w:val="0"/>
              <w:spacing w:line="360" w:lineRule="auto"/>
              <w:jc w:val="center"/>
              <w:rPr>
                <w:rFonts w:hint="eastAsia" w:ascii="宋体" w:hAnsi="宋体"/>
                <w:szCs w:val="21"/>
              </w:rPr>
            </w:pPr>
          </w:p>
        </w:tc>
        <w:tc>
          <w:tcPr>
            <w:tcW w:w="945" w:type="dxa"/>
            <w:noWrap w:val="0"/>
            <w:vAlign w:val="top"/>
          </w:tcPr>
          <w:p>
            <w:pPr>
              <w:adjustRightInd w:val="0"/>
              <w:snapToGrid w:val="0"/>
              <w:spacing w:line="360" w:lineRule="auto"/>
              <w:jc w:val="center"/>
              <w:rPr>
                <w:rFonts w:hint="eastAsia" w:ascii="宋体" w:hAnsi="宋体"/>
                <w:szCs w:val="21"/>
              </w:rPr>
            </w:pPr>
          </w:p>
        </w:tc>
        <w:tc>
          <w:tcPr>
            <w:tcW w:w="1665"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1644" w:type="dxa"/>
            <w:noWrap w:val="0"/>
            <w:vAlign w:val="center"/>
          </w:tcPr>
          <w:p>
            <w:pPr>
              <w:adjustRightInd w:val="0"/>
              <w:snapToGrid w:val="0"/>
              <w:spacing w:line="360" w:lineRule="auto"/>
              <w:jc w:val="center"/>
              <w:rPr>
                <w:rFonts w:hint="eastAsia" w:ascii="宋体" w:hAnsi="宋体"/>
                <w:szCs w:val="21"/>
              </w:rPr>
            </w:pPr>
          </w:p>
        </w:tc>
        <w:tc>
          <w:tcPr>
            <w:tcW w:w="735" w:type="dxa"/>
            <w:noWrap w:val="0"/>
            <w:vAlign w:val="center"/>
          </w:tcPr>
          <w:p>
            <w:pPr>
              <w:adjustRightInd w:val="0"/>
              <w:snapToGrid w:val="0"/>
              <w:spacing w:line="360" w:lineRule="auto"/>
              <w:jc w:val="center"/>
              <w:rPr>
                <w:rFonts w:hint="eastAsia" w:ascii="宋体" w:hAnsi="宋体"/>
                <w:szCs w:val="21"/>
              </w:rPr>
            </w:pPr>
          </w:p>
        </w:tc>
        <w:tc>
          <w:tcPr>
            <w:tcW w:w="945" w:type="dxa"/>
            <w:noWrap w:val="0"/>
            <w:vAlign w:val="top"/>
          </w:tcPr>
          <w:p>
            <w:pPr>
              <w:adjustRightInd w:val="0"/>
              <w:snapToGrid w:val="0"/>
              <w:spacing w:line="360" w:lineRule="auto"/>
              <w:jc w:val="center"/>
              <w:rPr>
                <w:rFonts w:hint="eastAsia" w:ascii="宋体" w:hAnsi="宋体"/>
                <w:szCs w:val="21"/>
              </w:rPr>
            </w:pPr>
          </w:p>
        </w:tc>
        <w:tc>
          <w:tcPr>
            <w:tcW w:w="1665"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1644" w:type="dxa"/>
            <w:noWrap w:val="0"/>
            <w:vAlign w:val="center"/>
          </w:tcPr>
          <w:p>
            <w:pPr>
              <w:adjustRightInd w:val="0"/>
              <w:snapToGrid w:val="0"/>
              <w:spacing w:line="360" w:lineRule="auto"/>
              <w:jc w:val="center"/>
              <w:rPr>
                <w:rFonts w:hint="eastAsia" w:ascii="宋体" w:hAnsi="宋体"/>
                <w:szCs w:val="21"/>
              </w:rPr>
            </w:pPr>
          </w:p>
        </w:tc>
        <w:tc>
          <w:tcPr>
            <w:tcW w:w="735" w:type="dxa"/>
            <w:noWrap w:val="0"/>
            <w:vAlign w:val="center"/>
          </w:tcPr>
          <w:p>
            <w:pPr>
              <w:adjustRightInd w:val="0"/>
              <w:snapToGrid w:val="0"/>
              <w:spacing w:line="360" w:lineRule="auto"/>
              <w:jc w:val="center"/>
              <w:rPr>
                <w:rFonts w:hint="eastAsia" w:ascii="宋体" w:hAnsi="宋体"/>
                <w:szCs w:val="21"/>
              </w:rPr>
            </w:pPr>
          </w:p>
        </w:tc>
        <w:tc>
          <w:tcPr>
            <w:tcW w:w="945" w:type="dxa"/>
            <w:noWrap w:val="0"/>
            <w:vAlign w:val="top"/>
          </w:tcPr>
          <w:p>
            <w:pPr>
              <w:adjustRightInd w:val="0"/>
              <w:snapToGrid w:val="0"/>
              <w:spacing w:line="360" w:lineRule="auto"/>
              <w:jc w:val="center"/>
              <w:rPr>
                <w:rFonts w:hint="eastAsia" w:ascii="宋体" w:hAnsi="宋体"/>
                <w:szCs w:val="21"/>
              </w:rPr>
            </w:pPr>
          </w:p>
        </w:tc>
        <w:tc>
          <w:tcPr>
            <w:tcW w:w="1665"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1644" w:type="dxa"/>
            <w:noWrap w:val="0"/>
            <w:vAlign w:val="center"/>
          </w:tcPr>
          <w:p>
            <w:pPr>
              <w:adjustRightInd w:val="0"/>
              <w:snapToGrid w:val="0"/>
              <w:spacing w:line="360" w:lineRule="auto"/>
              <w:jc w:val="center"/>
              <w:rPr>
                <w:rFonts w:hint="eastAsia" w:ascii="宋体" w:hAnsi="宋体"/>
                <w:szCs w:val="21"/>
              </w:rPr>
            </w:pPr>
          </w:p>
        </w:tc>
        <w:tc>
          <w:tcPr>
            <w:tcW w:w="735" w:type="dxa"/>
            <w:noWrap w:val="0"/>
            <w:vAlign w:val="center"/>
          </w:tcPr>
          <w:p>
            <w:pPr>
              <w:adjustRightInd w:val="0"/>
              <w:snapToGrid w:val="0"/>
              <w:spacing w:line="360" w:lineRule="auto"/>
              <w:jc w:val="center"/>
              <w:rPr>
                <w:rFonts w:hint="eastAsia" w:ascii="宋体" w:hAnsi="宋体"/>
                <w:szCs w:val="21"/>
              </w:rPr>
            </w:pPr>
          </w:p>
        </w:tc>
        <w:tc>
          <w:tcPr>
            <w:tcW w:w="945" w:type="dxa"/>
            <w:noWrap w:val="0"/>
            <w:vAlign w:val="top"/>
          </w:tcPr>
          <w:p>
            <w:pPr>
              <w:adjustRightInd w:val="0"/>
              <w:snapToGrid w:val="0"/>
              <w:spacing w:line="360" w:lineRule="auto"/>
              <w:jc w:val="center"/>
              <w:rPr>
                <w:rFonts w:hint="eastAsia" w:ascii="宋体" w:hAnsi="宋体"/>
                <w:szCs w:val="21"/>
              </w:rPr>
            </w:pPr>
          </w:p>
        </w:tc>
        <w:tc>
          <w:tcPr>
            <w:tcW w:w="1665"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default" w:ascii="黑体" w:hAnsi="宋体" w:eastAsia="黑体"/>
          <w:b/>
          <w:sz w:val="32"/>
          <w:szCs w:val="32"/>
          <w:lang w:val="en-US" w:eastAsia="zh-CN"/>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r>
        <w:rPr>
          <w:rFonts w:hint="eastAsia" w:ascii="黑体" w:eastAsia="黑体"/>
          <w:b/>
          <w:bCs/>
          <w:sz w:val="21"/>
          <w:szCs w:val="21"/>
          <w:lang w:val="en-US" w:eastAsia="zh-CN"/>
        </w:rPr>
        <w:t>(承诺书、业绩等）</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C81530F"/>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D584ABA"/>
    <w:rsid w:val="2ED61618"/>
    <w:rsid w:val="2F965320"/>
    <w:rsid w:val="302F0502"/>
    <w:rsid w:val="34130942"/>
    <w:rsid w:val="34EA3703"/>
    <w:rsid w:val="35F246BC"/>
    <w:rsid w:val="38420A15"/>
    <w:rsid w:val="39D74928"/>
    <w:rsid w:val="3DF73288"/>
    <w:rsid w:val="3DF76699"/>
    <w:rsid w:val="3EBF2DAE"/>
    <w:rsid w:val="428C0936"/>
    <w:rsid w:val="45184CC2"/>
    <w:rsid w:val="46BB7DCD"/>
    <w:rsid w:val="46E665D9"/>
    <w:rsid w:val="47AF3A9D"/>
    <w:rsid w:val="4AB244FE"/>
    <w:rsid w:val="4BAC7D62"/>
    <w:rsid w:val="4D230A05"/>
    <w:rsid w:val="4D33147E"/>
    <w:rsid w:val="4D7251DD"/>
    <w:rsid w:val="4F5F72C8"/>
    <w:rsid w:val="4FED5722"/>
    <w:rsid w:val="50B079EE"/>
    <w:rsid w:val="52E16D56"/>
    <w:rsid w:val="52E172A9"/>
    <w:rsid w:val="52E963F2"/>
    <w:rsid w:val="556C1C90"/>
    <w:rsid w:val="56857BE1"/>
    <w:rsid w:val="56EC0D19"/>
    <w:rsid w:val="598A39D7"/>
    <w:rsid w:val="5BBE1A4C"/>
    <w:rsid w:val="632714C8"/>
    <w:rsid w:val="63411FEF"/>
    <w:rsid w:val="640169B5"/>
    <w:rsid w:val="65131F2A"/>
    <w:rsid w:val="6AAE5B16"/>
    <w:rsid w:val="6DF9218D"/>
    <w:rsid w:val="6E906177"/>
    <w:rsid w:val="72247761"/>
    <w:rsid w:val="74785CBA"/>
    <w:rsid w:val="7A984B8A"/>
    <w:rsid w:val="7CB86F9D"/>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2022-04-21T04:04:55Z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